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cs="Times New Roman"/>
          <w:b/>
          <w:sz w:val="28"/>
          <w:szCs w:val="28"/>
        </w:rPr>
      </w:pPr>
      <w:r>
        <w:rPr>
          <w:rFonts w:hint="eastAsia" w:ascii="Times New Roman" w:cs="Times New Roman"/>
          <w:b/>
          <w:sz w:val="28"/>
          <w:szCs w:val="28"/>
        </w:rPr>
        <w:t>南京雨花软件园发展有限公司</w:t>
      </w:r>
    </w:p>
    <w:p>
      <w:pPr>
        <w:jc w:val="center"/>
        <w:rPr>
          <w:rFonts w:hint="eastAsia" w:ascii="Times New Roman" w:cs="Times New Roman" w:eastAsiaTheme="minorEastAsia"/>
          <w:b/>
          <w:sz w:val="28"/>
          <w:szCs w:val="28"/>
          <w:lang w:eastAsia="zh-CN"/>
        </w:rPr>
      </w:pPr>
      <w:r>
        <w:rPr>
          <w:rFonts w:hint="eastAsia" w:ascii="Times New Roman" w:cs="Times New Roman"/>
          <w:b/>
          <w:sz w:val="28"/>
          <w:szCs w:val="28"/>
          <w:lang w:eastAsia="zh-CN"/>
        </w:rPr>
        <w:t>110kV雨闸线05#塔杆线迁移工程</w:t>
      </w:r>
    </w:p>
    <w:p>
      <w:pPr>
        <w:jc w:val="center"/>
        <w:rPr>
          <w:rFonts w:ascii="Times New Roman" w:hAnsi="Times New Roman" w:cs="Times New Roman"/>
          <w:b/>
          <w:sz w:val="28"/>
          <w:szCs w:val="28"/>
        </w:rPr>
      </w:pPr>
      <w:r>
        <w:rPr>
          <w:rFonts w:hint="eastAsia" w:ascii="Times New Roman" w:cs="Times New Roman"/>
          <w:b/>
          <w:sz w:val="28"/>
          <w:szCs w:val="28"/>
        </w:rPr>
        <w:t>竣工环境保护验收意见</w:t>
      </w:r>
    </w:p>
    <w:p>
      <w:pPr>
        <w:spacing w:line="520" w:lineRule="exac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2023年12月28日，南京雨花软件园发展有限公司在南京市组织召开了110kV雨闸线05#塔杆线迁移工程竣工环保验收会议。参加会议的单位有：江苏智泓环保科技有限公司、南京基越环境检测有限公司、江苏中政生态环境技术有限公司，会议特邀专</w:t>
      </w:r>
      <w:r>
        <w:rPr>
          <w:rFonts w:hint="eastAsia" w:ascii="Times New Roman" w:hAnsi="Times New Roman"/>
          <w:sz w:val="24"/>
          <w:szCs w:val="24"/>
          <w:highlight w:val="none"/>
          <w:lang w:val="en-US" w:eastAsia="zh-CN"/>
        </w:rPr>
        <w:t>家2</w:t>
      </w:r>
      <w:r>
        <w:rPr>
          <w:rFonts w:hint="eastAsia" w:ascii="Times New Roman" w:hAnsi="Times New Roman"/>
          <w:sz w:val="24"/>
          <w:szCs w:val="24"/>
          <w:lang w:val="en-US" w:eastAsia="zh-CN"/>
        </w:rPr>
        <w:t>名。会议成立了验收工作组，名单附后。验收工作组听取了南京雨花软件园发展有限公司对该项目环境保护执行情况的汇报和验收调查单位对该项目现场监测、调查情况的介绍，并审阅了相关材料，经认真审议，形成验收意见如下：</w:t>
      </w:r>
    </w:p>
    <w:p>
      <w:pPr>
        <w:spacing w:line="520" w:lineRule="exact"/>
        <w:ind w:firstLine="562" w:firstLineChars="200"/>
        <w:outlineLvl w:val="0"/>
        <w:rPr>
          <w:rFonts w:ascii="Times New Roman" w:cs="Times New Roman"/>
          <w:b/>
          <w:sz w:val="28"/>
          <w:szCs w:val="28"/>
        </w:rPr>
      </w:pPr>
      <w:r>
        <w:rPr>
          <w:rFonts w:ascii="Times New Roman" w:cs="Times New Roman"/>
          <w:b/>
          <w:sz w:val="28"/>
          <w:szCs w:val="28"/>
        </w:rPr>
        <w:t>一、工程建设基本情况</w:t>
      </w:r>
    </w:p>
    <w:p>
      <w:pPr>
        <w:pStyle w:val="18"/>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本项目对110kV雨闸782线部分线路迁移改造，迁改后的线路总长度为920m，其中迁移改造架空线路747m（现状雨闸782线</w:t>
      </w:r>
      <w:r>
        <w:rPr>
          <w:rFonts w:hint="eastAsia" w:cs="Times New Roman"/>
          <w:color w:val="000000"/>
          <w:sz w:val="24"/>
          <w:szCs w:val="24"/>
          <w:highlight w:val="none"/>
          <w:lang w:val="en-US" w:eastAsia="zh-CN"/>
        </w:rPr>
        <w:t>0</w:t>
      </w:r>
      <w:r>
        <w:rPr>
          <w:rFonts w:hint="eastAsia" w:ascii="Times New Roman" w:hAnsi="Times New Roman" w:eastAsia="宋体" w:cs="Times New Roman"/>
          <w:color w:val="000000"/>
          <w:sz w:val="24"/>
          <w:szCs w:val="24"/>
          <w:highlight w:val="none"/>
          <w:lang w:eastAsia="zh-CN"/>
        </w:rPr>
        <w:t>1#塔至</w:t>
      </w:r>
      <w:r>
        <w:rPr>
          <w:rFonts w:hint="eastAsia" w:cs="Times New Roman"/>
          <w:color w:val="000000"/>
          <w:sz w:val="24"/>
          <w:szCs w:val="24"/>
          <w:highlight w:val="none"/>
          <w:lang w:val="en-US" w:eastAsia="zh-CN"/>
        </w:rPr>
        <w:t>0</w:t>
      </w:r>
      <w:r>
        <w:rPr>
          <w:rFonts w:hint="eastAsia" w:ascii="Times New Roman" w:hAnsi="Times New Roman" w:eastAsia="宋体" w:cs="Times New Roman"/>
          <w:color w:val="000000"/>
          <w:sz w:val="24"/>
          <w:szCs w:val="24"/>
          <w:highlight w:val="none"/>
          <w:lang w:eastAsia="zh-CN"/>
        </w:rPr>
        <w:t>6#塔段，其中现状01#塔至新立05#塔终端杆702m双回路导地线换新，新立05#塔至现状06#塔45m导地线原线利用，架空线路路径不变），新建电缆线路173m（双回设计，单回敷设）。</w:t>
      </w:r>
    </w:p>
    <w:p>
      <w:pPr>
        <w:spacing w:line="520" w:lineRule="exact"/>
        <w:ind w:firstLine="562" w:firstLineChars="200"/>
        <w:outlineLvl w:val="0"/>
        <w:rPr>
          <w:rFonts w:ascii="Times New Roman" w:hAnsi="Times New Roman" w:cs="Times New Roman"/>
          <w:b/>
          <w:sz w:val="28"/>
          <w:szCs w:val="28"/>
        </w:rPr>
      </w:pPr>
      <w:r>
        <w:rPr>
          <w:rFonts w:hint="eastAsia" w:ascii="Times New Roman" w:cs="Times New Roman"/>
          <w:b/>
          <w:sz w:val="28"/>
          <w:szCs w:val="28"/>
        </w:rPr>
        <w:t>二</w:t>
      </w:r>
      <w:r>
        <w:rPr>
          <w:rFonts w:ascii="Times New Roman" w:cs="Times New Roman"/>
          <w:b/>
          <w:sz w:val="28"/>
          <w:szCs w:val="28"/>
        </w:rPr>
        <w:t>、工程</w:t>
      </w:r>
      <w:r>
        <w:rPr>
          <w:rFonts w:hint="eastAsia" w:ascii="Times New Roman" w:cs="Times New Roman"/>
          <w:b/>
          <w:sz w:val="28"/>
          <w:szCs w:val="28"/>
        </w:rPr>
        <w:t>变动</w:t>
      </w:r>
      <w:r>
        <w:rPr>
          <w:rFonts w:ascii="Times New Roman" w:cs="Times New Roman"/>
          <w:b/>
          <w:sz w:val="28"/>
          <w:szCs w:val="28"/>
        </w:rPr>
        <w:t>情况</w:t>
      </w:r>
    </w:p>
    <w:p>
      <w:pPr>
        <w:spacing w:line="52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对照《关于印发</w:t>
      </w:r>
      <w:r>
        <w:rPr>
          <w:rFonts w:hint="eastAsia" w:ascii="Times New Roman" w:hAnsi="Times New Roman" w:cs="Times New Roman"/>
          <w:sz w:val="24"/>
          <w:szCs w:val="24"/>
          <w:lang w:val="en-US" w:eastAsia="zh-CN"/>
        </w:rPr>
        <w:t>&lt;</w:t>
      </w:r>
      <w:r>
        <w:rPr>
          <w:rFonts w:hint="eastAsia" w:ascii="Times New Roman" w:hAnsi="Times New Roman" w:cs="Times New Roman"/>
          <w:sz w:val="24"/>
          <w:szCs w:val="24"/>
        </w:rPr>
        <w:t>输变电建设项目重大变动清单</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试行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&gt;</w:t>
      </w:r>
      <w:r>
        <w:rPr>
          <w:rFonts w:hint="eastAsia" w:ascii="Times New Roman" w:hAnsi="Times New Roman" w:cs="Times New Roman"/>
          <w:sz w:val="24"/>
          <w:szCs w:val="24"/>
        </w:rPr>
        <w:t>的通知》</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环办辐射[2016]84  号</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本工程无重大变动。</w:t>
      </w:r>
    </w:p>
    <w:p>
      <w:pPr>
        <w:spacing w:line="520" w:lineRule="exact"/>
        <w:ind w:firstLine="562" w:firstLineChars="200"/>
        <w:outlineLvl w:val="0"/>
        <w:rPr>
          <w:rFonts w:ascii="Times New Roman" w:hAnsi="Times New Roman" w:cs="Times New Roman"/>
          <w:b/>
          <w:sz w:val="28"/>
          <w:szCs w:val="28"/>
        </w:rPr>
      </w:pPr>
      <w:r>
        <w:rPr>
          <w:rFonts w:hint="eastAsia" w:ascii="Times New Roman" w:cs="Times New Roman"/>
          <w:b/>
          <w:sz w:val="28"/>
          <w:szCs w:val="28"/>
        </w:rPr>
        <w:t>三</w:t>
      </w:r>
      <w:r>
        <w:rPr>
          <w:rFonts w:ascii="Times New Roman" w:cs="Times New Roman"/>
          <w:b/>
          <w:sz w:val="28"/>
          <w:szCs w:val="28"/>
        </w:rPr>
        <w:t>、</w:t>
      </w:r>
      <w:r>
        <w:rPr>
          <w:rFonts w:hint="eastAsia" w:ascii="Times New Roman" w:cs="Times New Roman"/>
          <w:b/>
          <w:sz w:val="28"/>
          <w:szCs w:val="28"/>
        </w:rPr>
        <w:t>环境保护</w:t>
      </w:r>
      <w:r>
        <w:rPr>
          <w:rFonts w:hint="eastAsia" w:ascii="Times New Roman" w:cs="Times New Roman"/>
          <w:b/>
          <w:sz w:val="28"/>
          <w:szCs w:val="28"/>
          <w:lang w:val="en-US" w:eastAsia="zh-CN"/>
        </w:rPr>
        <w:t>措施落实</w:t>
      </w:r>
      <w:r>
        <w:rPr>
          <w:rFonts w:hint="eastAsia" w:ascii="Times New Roman" w:cs="Times New Roman"/>
          <w:b/>
          <w:sz w:val="28"/>
          <w:szCs w:val="28"/>
        </w:rPr>
        <w:t>情况</w:t>
      </w:r>
    </w:p>
    <w:p>
      <w:pPr>
        <w:spacing w:line="52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工程建设实施过程中能按照设计规范和环评批复要求进行设计和施工；各项污染防治措施和生态影响减缓措施得到有效落实。</w:t>
      </w:r>
    </w:p>
    <w:p>
      <w:pPr>
        <w:spacing w:line="520" w:lineRule="exact"/>
        <w:ind w:firstLine="562" w:firstLineChars="200"/>
        <w:outlineLvl w:val="0"/>
        <w:rPr>
          <w:rFonts w:hint="default" w:ascii="Times New Roman" w:cs="Times New Roman"/>
          <w:b/>
          <w:sz w:val="28"/>
          <w:szCs w:val="28"/>
          <w:lang w:val="en-US" w:eastAsia="zh-CN"/>
        </w:rPr>
      </w:pPr>
      <w:r>
        <w:rPr>
          <w:rFonts w:hint="eastAsia" w:ascii="Times New Roman" w:cs="Times New Roman"/>
          <w:b/>
          <w:sz w:val="28"/>
          <w:szCs w:val="28"/>
          <w:lang w:val="en-US" w:eastAsia="zh-CN"/>
        </w:rPr>
        <w:t>四、项目建设对环境的影响</w:t>
      </w:r>
    </w:p>
    <w:p>
      <w:pPr>
        <w:pStyle w:val="18"/>
        <w:rPr>
          <w:rFonts w:hint="eastAsia"/>
          <w:sz w:val="24"/>
          <w:szCs w:val="24"/>
          <w:lang w:val="en-US" w:eastAsia="zh-CN"/>
        </w:rPr>
      </w:pPr>
      <w:r>
        <w:rPr>
          <w:rFonts w:hint="eastAsia"/>
          <w:sz w:val="24"/>
          <w:szCs w:val="24"/>
          <w:lang w:val="en-US" w:eastAsia="zh-CN"/>
        </w:rPr>
        <w:t>1 、生态环境影响</w:t>
      </w:r>
    </w:p>
    <w:p>
      <w:pPr>
        <w:pStyle w:val="18"/>
        <w:rPr>
          <w:rFonts w:hint="eastAsia"/>
          <w:sz w:val="24"/>
          <w:szCs w:val="24"/>
          <w:lang w:val="en-US" w:eastAsia="zh-CN"/>
        </w:rPr>
      </w:pPr>
      <w:r>
        <w:rPr>
          <w:rFonts w:hint="eastAsia"/>
          <w:sz w:val="24"/>
          <w:szCs w:val="24"/>
          <w:lang w:val="en-US" w:eastAsia="zh-CN"/>
        </w:rPr>
        <w:t>根据《自然资源部办公厅关于北京等省（区、市）启用“三区三线”划定成果作为报批建设项目用地用海依据的函》（自然资办函[2022]2207号）以及《江苏省自然资源厅关于南京市雨花台区生态空间管控区域调整方案的复函（苏自然资函[2023]168号）， 本项目不涉及上述文件中的生态保护红线及生态空间管控区域。</w:t>
      </w:r>
    </w:p>
    <w:p>
      <w:pPr>
        <w:pStyle w:val="18"/>
        <w:rPr>
          <w:rFonts w:hint="eastAsia"/>
          <w:sz w:val="24"/>
          <w:szCs w:val="24"/>
          <w:lang w:val="en-US" w:eastAsia="zh-CN"/>
        </w:rPr>
      </w:pPr>
      <w:r>
        <w:rPr>
          <w:rFonts w:hint="eastAsia"/>
          <w:sz w:val="24"/>
          <w:szCs w:val="24"/>
          <w:lang w:val="en-US" w:eastAsia="zh-CN"/>
        </w:rPr>
        <w:t>本工程永久性占地面积约64 m</w:t>
      </w:r>
      <w:r>
        <w:rPr>
          <w:rFonts w:hint="eastAsia"/>
          <w:sz w:val="24"/>
          <w:szCs w:val="24"/>
          <w:vertAlign w:val="superscript"/>
          <w:lang w:val="en-US" w:eastAsia="zh-CN"/>
        </w:rPr>
        <w:t>2</w:t>
      </w:r>
      <w:r>
        <w:rPr>
          <w:rFonts w:hint="eastAsia"/>
          <w:sz w:val="24"/>
          <w:szCs w:val="24"/>
          <w:lang w:val="en-US" w:eastAsia="zh-CN"/>
        </w:rPr>
        <w:t>，主要占地类型为市政用地，临时占地主要为市政用地，利用紫荆花路施工场地，本项目施工结束后，紫荆花路仍在施工，项目后续植被恢复已交由紫荆花路工程部负责，弃土弃渣等固体废物及时进行了清运，对周围生态环境影响较小。</w:t>
      </w:r>
      <w:bookmarkStart w:id="0" w:name="_GoBack"/>
      <w:bookmarkEnd w:id="0"/>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2 、电磁环境影响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经现场验收监测，本工程建成运行后，架空线路正下方、地下电缆输电线路上方、周围敏感点测点处工频电场、工频磁感应强度均符合《电磁环境控制限值》（GB8702-2014）中工频电场强度＜4000V/m、工频磁感应强度＜100</w:t>
      </w:r>
      <w:r>
        <w:rPr>
          <w:rFonts w:hint="default" w:ascii="Times New Roman" w:hAnsi="Times New Roman" w:cs="Times New Roman"/>
          <w:sz w:val="24"/>
          <w:szCs w:val="24"/>
          <w:lang w:val="en-US" w:eastAsia="zh-CN"/>
        </w:rPr>
        <w:t>μT</w:t>
      </w:r>
      <w:r>
        <w:rPr>
          <w:rFonts w:hint="eastAsia" w:ascii="Times New Roman" w:hAnsi="Times New Roman"/>
          <w:sz w:val="24"/>
          <w:szCs w:val="24"/>
          <w:lang w:val="en-US" w:eastAsia="zh-CN"/>
        </w:rPr>
        <w:t>的限值要求，同时能够满足线下林地、道路等场所工频电场强度控制限值为10kV/m的要求。</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3 、水环境影响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本工程施工过程中未设置临时居住点，对周围水环境影响较小。</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本工程输电线路环保设施调试期无废水产生，未对周围环境产生影响。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4 、声环境影响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本工程施工时采用了低噪声施工机械设备，尽量控制了设备噪声源强；加强了施工管理，文明施工，尽量错开了高噪声设备使用时间，未在夜间施工，最大程度减轻了施工噪声对周围环境的影响。 </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经验收监测，本工程输电线路周围测点处的昼间、夜间噪声均能满足《声环境质量标准》（GB3096-2008）中2类标准限值要求。</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5 、大气环境影响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本工程施工过程中，车辆运输散体材料和废弃物时进行了密闭，避免了沿途漏撒；加强了材料转运与使用的管理，进行了合理的装卸和规范操作；对进出施工场地的车辆进行了冲洗等，减少了扬尘的产生，有效减轻了扬尘对周围环境的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本工程输电线路在环保设施调试期无扬尘产生，未对周围环境产生影响。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6 、固体废物环境影响调查结论</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本工程施工过程中的建筑垃圾和生活垃圾已分别收集堆放，建筑垃圾已委托相关运输单位运送至指定受纳场地；生活垃圾分类收集后已由环卫部门</w:t>
      </w:r>
      <w:r>
        <w:rPr>
          <w:rFonts w:hint="eastAsia"/>
          <w:sz w:val="24"/>
          <w:szCs w:val="24"/>
          <w:lang w:val="en-US" w:eastAsia="zh-CN"/>
        </w:rPr>
        <w:t>清运</w:t>
      </w:r>
      <w:r>
        <w:rPr>
          <w:rFonts w:hint="eastAsia" w:ascii="Times New Roman" w:hAnsi="Times New Roman"/>
          <w:sz w:val="24"/>
          <w:szCs w:val="24"/>
          <w:lang w:val="en-US" w:eastAsia="zh-CN"/>
        </w:rPr>
        <w:t>。拆除的杆塔及导线已作为废旧物资回收利用，对周围环境影响较小。</w:t>
      </w:r>
    </w:p>
    <w:p>
      <w:pPr>
        <w:pStyle w:val="18"/>
        <w:rPr>
          <w:rFonts w:hint="default" w:ascii="Times New Roman" w:hAnsi="Times New Roman"/>
          <w:sz w:val="24"/>
          <w:szCs w:val="24"/>
          <w:lang w:val="en-US" w:eastAsia="zh-CN"/>
        </w:rPr>
      </w:pPr>
      <w:r>
        <w:rPr>
          <w:rFonts w:hint="eastAsia" w:ascii="Times New Roman" w:hAnsi="Times New Roman"/>
          <w:sz w:val="24"/>
          <w:szCs w:val="24"/>
          <w:lang w:val="en-US" w:eastAsia="zh-CN"/>
        </w:rPr>
        <w:t>本工程输电线路在环保设施调试期无固体废物产生，未对周围环境产生</w:t>
      </w:r>
      <w:r>
        <w:rPr>
          <w:rFonts w:hint="eastAsia"/>
          <w:sz w:val="24"/>
          <w:szCs w:val="24"/>
          <w:lang w:val="en-US" w:eastAsia="zh-CN"/>
        </w:rPr>
        <w:t>影响。</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7 、环境管理与监测</w:t>
      </w:r>
    </w:p>
    <w:p>
      <w:pPr>
        <w:pStyle w:val="18"/>
        <w:rPr>
          <w:rFonts w:hint="eastAsia" w:ascii="Times New Roman" w:hAnsi="Times New Roman"/>
          <w:sz w:val="24"/>
          <w:szCs w:val="24"/>
          <w:lang w:val="en-US" w:eastAsia="zh-CN"/>
        </w:rPr>
      </w:pPr>
      <w:r>
        <w:rPr>
          <w:rFonts w:hint="eastAsia" w:ascii="Times New Roman" w:hAnsi="Times New Roman"/>
          <w:sz w:val="24"/>
          <w:szCs w:val="24"/>
          <w:lang w:val="en-US" w:eastAsia="zh-CN"/>
        </w:rPr>
        <w:t>环境管理状况及监测计划落实情况调查结果表明，从项目的可行性研究、施工到运行阶段，本工程的建设认真执行了国家建设项目环境影响评价制度，建设单位环境保护管理组织机构健全，管理规章制度较完善，环境监测计划得到落实。项目建成进入环保设施调试期后，由南京基越环境检测有限公司对本工程输电线路周围电磁环境和声环境进行了验收监测。</w:t>
      </w:r>
    </w:p>
    <w:p>
      <w:pPr>
        <w:spacing w:line="520" w:lineRule="exact"/>
        <w:outlineLvl w:val="0"/>
        <w:rPr>
          <w:rFonts w:hint="eastAsia" w:ascii="Times New Roman" w:cs="Times New Roman"/>
          <w:b/>
          <w:sz w:val="28"/>
          <w:szCs w:val="28"/>
          <w:lang w:val="en-US" w:eastAsia="zh-CN"/>
        </w:rPr>
      </w:pPr>
      <w:r>
        <w:rPr>
          <w:rFonts w:hint="eastAsia" w:ascii="Times New Roman" w:cs="Times New Roman"/>
          <w:b/>
          <w:sz w:val="28"/>
          <w:szCs w:val="28"/>
          <w:lang w:val="en-US" w:eastAsia="zh-CN"/>
        </w:rPr>
        <w:t>五、验收结论</w:t>
      </w:r>
    </w:p>
    <w:p>
      <w:pPr>
        <w:pStyle w:val="18"/>
        <w:rPr>
          <w:rFonts w:hint="eastAsia"/>
          <w:sz w:val="24"/>
          <w:szCs w:val="24"/>
          <w:lang w:val="en-US" w:eastAsia="zh-CN"/>
        </w:rPr>
      </w:pPr>
      <w:r>
        <w:rPr>
          <w:rFonts w:hint="eastAsia"/>
          <w:sz w:val="24"/>
          <w:szCs w:val="24"/>
          <w:lang w:val="en-US" w:eastAsia="zh-CN"/>
        </w:rPr>
        <w:t>南京雨花软件园发展有限公司110kV雨闸线05#塔杆线迁移工程在设计、施工和环境保护设施调试期均已落实了环境影响报告表及其批复文件中的要求，采取了有效地环境保护措施和生态保护措施，验收监测结果表明本工程电磁环境和声环境影响均可以满足环评及批复文件的标准限值要求，其他环境要素也均符合环评及批复文件的要求。因此，从环境保护角度分析，同意110kV雨闸线05#塔杆线迁移工程通过竣工环保验收。</w:t>
      </w:r>
    </w:p>
    <w:p>
      <w:pPr>
        <w:spacing w:line="520" w:lineRule="exact"/>
        <w:outlineLvl w:val="0"/>
        <w:rPr>
          <w:rFonts w:hint="eastAsia" w:ascii="Times New Roman" w:cs="Times New Roman"/>
          <w:b/>
          <w:sz w:val="28"/>
          <w:szCs w:val="28"/>
          <w:lang w:val="en-US" w:eastAsia="zh-CN"/>
        </w:rPr>
      </w:pPr>
      <w:r>
        <w:rPr>
          <w:rFonts w:hint="eastAsia" w:ascii="Times New Roman" w:cs="Times New Roman"/>
          <w:b/>
          <w:sz w:val="28"/>
          <w:szCs w:val="28"/>
          <w:lang w:val="en-US" w:eastAsia="zh-CN"/>
        </w:rPr>
        <w:t>六、后续要求</w:t>
      </w:r>
    </w:p>
    <w:p>
      <w:pPr>
        <w:pStyle w:val="18"/>
        <w:rPr>
          <w:rFonts w:hint="eastAsia"/>
          <w:sz w:val="24"/>
          <w:szCs w:val="24"/>
          <w:lang w:val="en-US" w:eastAsia="zh-CN"/>
        </w:rPr>
      </w:pPr>
      <w:r>
        <w:rPr>
          <w:rFonts w:hint="eastAsia"/>
          <w:sz w:val="24"/>
          <w:szCs w:val="24"/>
          <w:lang w:val="en-US" w:eastAsia="zh-CN"/>
        </w:rPr>
        <w:t>验收工作完成以后，建设单位将本工程的环保资料移交给供电公司，供电公司应加强该工程的日常维护，确保相关环保要求落实。</w:t>
      </w:r>
    </w:p>
    <w:p>
      <w:pPr>
        <w:spacing w:line="520" w:lineRule="exact"/>
        <w:outlineLvl w:val="0"/>
        <w:rPr>
          <w:rFonts w:hint="eastAsia" w:ascii="Times New Roman" w:cs="Times New Roman"/>
          <w:b/>
          <w:sz w:val="28"/>
          <w:szCs w:val="28"/>
          <w:lang w:val="en-US" w:eastAsia="zh-CN"/>
        </w:rPr>
      </w:pPr>
      <w:r>
        <w:rPr>
          <w:rFonts w:hint="eastAsia" w:ascii="Times New Roman" w:cs="Times New Roman"/>
          <w:b/>
          <w:sz w:val="28"/>
          <w:szCs w:val="28"/>
          <w:lang w:val="en-US" w:eastAsia="zh-CN"/>
        </w:rPr>
        <w:t>七、验收人员信息</w:t>
      </w:r>
    </w:p>
    <w:p>
      <w:pPr>
        <w:spacing w:line="127" w:lineRule="exact"/>
      </w:pPr>
    </w:p>
    <w:p>
      <w:pPr>
        <w:spacing w:line="52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见附件</w:t>
      </w:r>
    </w:p>
    <w:p>
      <w:pPr>
        <w:spacing w:line="520" w:lineRule="exact"/>
        <w:ind w:left="210" w:leftChars="100"/>
        <w:jc w:val="right"/>
        <w:rPr>
          <w:rFonts w:hint="eastAsia" w:ascii="黑体" w:hAnsi="黑体" w:eastAsia="黑体" w:cs="Times New Roman"/>
          <w:sz w:val="28"/>
          <w:szCs w:val="28"/>
        </w:rPr>
      </w:pPr>
      <w:r>
        <w:rPr>
          <w:rFonts w:hint="eastAsia" w:ascii="黑体" w:hAnsi="黑体" w:eastAsia="黑体" w:cs="Times New Roman"/>
          <w:sz w:val="28"/>
          <w:szCs w:val="28"/>
          <w:lang w:val="en-US" w:eastAsia="zh-CN"/>
        </w:rPr>
        <w:t>2023</w:t>
      </w:r>
      <w:r>
        <w:rPr>
          <w:rFonts w:hint="eastAsia" w:ascii="黑体" w:hAnsi="黑体" w:eastAsia="黑体" w:cs="Times New Roman"/>
          <w:sz w:val="28"/>
          <w:szCs w:val="28"/>
        </w:rPr>
        <w:t>年</w:t>
      </w:r>
      <w:r>
        <w:rPr>
          <w:rFonts w:hint="eastAsia" w:ascii="黑体" w:hAnsi="黑体" w:eastAsia="黑体" w:cs="Times New Roman"/>
          <w:sz w:val="28"/>
          <w:szCs w:val="28"/>
          <w:lang w:val="en-US" w:eastAsia="zh-CN"/>
        </w:rPr>
        <w:t>12</w:t>
      </w:r>
      <w:r>
        <w:rPr>
          <w:rFonts w:hint="eastAsia" w:ascii="黑体" w:hAnsi="黑体" w:eastAsia="黑体" w:cs="Times New Roman"/>
          <w:sz w:val="28"/>
          <w:szCs w:val="28"/>
        </w:rPr>
        <w:t>月</w:t>
      </w:r>
      <w:r>
        <w:rPr>
          <w:rFonts w:hint="eastAsia" w:ascii="黑体" w:hAnsi="黑体" w:eastAsia="黑体" w:cs="Times New Roman"/>
          <w:sz w:val="28"/>
          <w:szCs w:val="28"/>
          <w:lang w:val="en-US" w:eastAsia="zh-CN"/>
        </w:rPr>
        <w:t>28</w:t>
      </w:r>
      <w:r>
        <w:rPr>
          <w:rFonts w:hint="eastAsia" w:ascii="黑体" w:hAnsi="黑体" w:eastAsia="黑体" w:cs="Times New Roman"/>
          <w:sz w:val="28"/>
          <w:szCs w:val="28"/>
        </w:rPr>
        <w:t>日</w:t>
      </w:r>
    </w:p>
    <w:p>
      <w:pPr>
        <w:rPr>
          <w:rFonts w:hint="eastAsia" w:ascii="黑体" w:hAnsi="黑体" w:eastAsia="黑体" w:cs="Times New Roman"/>
          <w:sz w:val="28"/>
          <w:szCs w:val="28"/>
        </w:rPr>
      </w:pPr>
    </w:p>
    <w:sectPr>
      <w:headerReference r:id="rId3" w:type="default"/>
      <w:footerReference r:id="rId4"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55BA5"/>
    <w:multiLevelType w:val="singleLevel"/>
    <w:tmpl w:val="84555BA5"/>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0DF35B57"/>
    <w:multiLevelType w:val="multilevel"/>
    <w:tmpl w:val="0DF35B57"/>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3"/>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431"/>
        </w:tabs>
        <w:ind w:left="3827" w:hanging="1276"/>
      </w:pPr>
      <w:rPr>
        <w:rFonts w:hint="eastAsia"/>
      </w:rPr>
    </w:lvl>
    <w:lvl w:ilvl="7" w:tentative="0">
      <w:start w:val="1"/>
      <w:numFmt w:val="decimal"/>
      <w:lvlText w:val="%1.%2.%3.%4.%5.%6.%7.%8"/>
      <w:lvlJc w:val="left"/>
      <w:pPr>
        <w:tabs>
          <w:tab w:val="left" w:pos="6216"/>
        </w:tabs>
        <w:ind w:left="4394" w:hanging="1418"/>
      </w:pPr>
      <w:rPr>
        <w:rFonts w:hint="eastAsia"/>
      </w:rPr>
    </w:lvl>
    <w:lvl w:ilvl="8" w:tentative="0">
      <w:start w:val="1"/>
      <w:numFmt w:val="decimal"/>
      <w:lvlText w:val="%1.%2.%3.%4.%5.%6.%7.%8.%9"/>
      <w:lvlJc w:val="left"/>
      <w:pPr>
        <w:tabs>
          <w:tab w:val="left" w:pos="70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N2YzN2E0Njc0OGY1MzllMDhmNGM0NjhiOTA2OTMifQ=="/>
  </w:docVars>
  <w:rsids>
    <w:rsidRoot w:val="001B68DD"/>
    <w:rsid w:val="0001179B"/>
    <w:rsid w:val="00011FBD"/>
    <w:rsid w:val="00021C14"/>
    <w:rsid w:val="00026BEB"/>
    <w:rsid w:val="00036EB4"/>
    <w:rsid w:val="00037544"/>
    <w:rsid w:val="000443E9"/>
    <w:rsid w:val="0006385F"/>
    <w:rsid w:val="00087FD5"/>
    <w:rsid w:val="0009405F"/>
    <w:rsid w:val="000A6A38"/>
    <w:rsid w:val="000B100E"/>
    <w:rsid w:val="000C3AF3"/>
    <w:rsid w:val="000D6AC0"/>
    <w:rsid w:val="000F1F55"/>
    <w:rsid w:val="000F4E5A"/>
    <w:rsid w:val="00145D4C"/>
    <w:rsid w:val="00175554"/>
    <w:rsid w:val="001B68DD"/>
    <w:rsid w:val="001B7921"/>
    <w:rsid w:val="00204288"/>
    <w:rsid w:val="002152AA"/>
    <w:rsid w:val="00222991"/>
    <w:rsid w:val="00235A9F"/>
    <w:rsid w:val="00246915"/>
    <w:rsid w:val="0028609C"/>
    <w:rsid w:val="00294210"/>
    <w:rsid w:val="002944C5"/>
    <w:rsid w:val="002A1934"/>
    <w:rsid w:val="002A26E3"/>
    <w:rsid w:val="002B074B"/>
    <w:rsid w:val="002E0448"/>
    <w:rsid w:val="002E2E3D"/>
    <w:rsid w:val="002F2D26"/>
    <w:rsid w:val="002F76E0"/>
    <w:rsid w:val="00301BBA"/>
    <w:rsid w:val="00302B7C"/>
    <w:rsid w:val="00332DFA"/>
    <w:rsid w:val="00333C5E"/>
    <w:rsid w:val="00334B17"/>
    <w:rsid w:val="00335E12"/>
    <w:rsid w:val="00355C13"/>
    <w:rsid w:val="00357E72"/>
    <w:rsid w:val="00357F2C"/>
    <w:rsid w:val="00361E0E"/>
    <w:rsid w:val="00385679"/>
    <w:rsid w:val="00390772"/>
    <w:rsid w:val="0039188E"/>
    <w:rsid w:val="003B16F7"/>
    <w:rsid w:val="003B3F0A"/>
    <w:rsid w:val="003C6488"/>
    <w:rsid w:val="003D11AE"/>
    <w:rsid w:val="003F3B78"/>
    <w:rsid w:val="004123F2"/>
    <w:rsid w:val="0041387D"/>
    <w:rsid w:val="00425A82"/>
    <w:rsid w:val="00431575"/>
    <w:rsid w:val="00446C19"/>
    <w:rsid w:val="00461F1E"/>
    <w:rsid w:val="00471ADC"/>
    <w:rsid w:val="00474B5B"/>
    <w:rsid w:val="00477E80"/>
    <w:rsid w:val="00477F1D"/>
    <w:rsid w:val="00486354"/>
    <w:rsid w:val="004B72E2"/>
    <w:rsid w:val="004B7E38"/>
    <w:rsid w:val="004B7F6E"/>
    <w:rsid w:val="004C171A"/>
    <w:rsid w:val="004D1482"/>
    <w:rsid w:val="004D4ACE"/>
    <w:rsid w:val="00506D8B"/>
    <w:rsid w:val="00521042"/>
    <w:rsid w:val="0052139A"/>
    <w:rsid w:val="00540479"/>
    <w:rsid w:val="005415A9"/>
    <w:rsid w:val="005439D7"/>
    <w:rsid w:val="00563D21"/>
    <w:rsid w:val="005763F7"/>
    <w:rsid w:val="00583EAE"/>
    <w:rsid w:val="005848ED"/>
    <w:rsid w:val="00585437"/>
    <w:rsid w:val="005A03E4"/>
    <w:rsid w:val="005C3188"/>
    <w:rsid w:val="005C5385"/>
    <w:rsid w:val="005C621B"/>
    <w:rsid w:val="005D182C"/>
    <w:rsid w:val="005D4AF2"/>
    <w:rsid w:val="006144FE"/>
    <w:rsid w:val="006151E0"/>
    <w:rsid w:val="00615F11"/>
    <w:rsid w:val="0062475C"/>
    <w:rsid w:val="006420AE"/>
    <w:rsid w:val="006512F9"/>
    <w:rsid w:val="006712F9"/>
    <w:rsid w:val="00672CF3"/>
    <w:rsid w:val="0067340B"/>
    <w:rsid w:val="006A5735"/>
    <w:rsid w:val="006A581F"/>
    <w:rsid w:val="006C2B33"/>
    <w:rsid w:val="006E22F9"/>
    <w:rsid w:val="006E69AC"/>
    <w:rsid w:val="006F20AF"/>
    <w:rsid w:val="0070491C"/>
    <w:rsid w:val="00714402"/>
    <w:rsid w:val="007252F1"/>
    <w:rsid w:val="0072571C"/>
    <w:rsid w:val="00736607"/>
    <w:rsid w:val="00744643"/>
    <w:rsid w:val="00745CEB"/>
    <w:rsid w:val="00751F70"/>
    <w:rsid w:val="007567F4"/>
    <w:rsid w:val="00773E1B"/>
    <w:rsid w:val="007A2AE4"/>
    <w:rsid w:val="007A30F5"/>
    <w:rsid w:val="007A48EB"/>
    <w:rsid w:val="007D2FB7"/>
    <w:rsid w:val="007E6A63"/>
    <w:rsid w:val="007F34AC"/>
    <w:rsid w:val="00823A42"/>
    <w:rsid w:val="00834100"/>
    <w:rsid w:val="00840629"/>
    <w:rsid w:val="00847895"/>
    <w:rsid w:val="00861A4D"/>
    <w:rsid w:val="008637E4"/>
    <w:rsid w:val="008A2E3B"/>
    <w:rsid w:val="008B226B"/>
    <w:rsid w:val="008D5C43"/>
    <w:rsid w:val="008E37CB"/>
    <w:rsid w:val="00900C0E"/>
    <w:rsid w:val="0091153C"/>
    <w:rsid w:val="0091517B"/>
    <w:rsid w:val="0091634C"/>
    <w:rsid w:val="009219D0"/>
    <w:rsid w:val="00923BF6"/>
    <w:rsid w:val="0095592C"/>
    <w:rsid w:val="00962099"/>
    <w:rsid w:val="00985412"/>
    <w:rsid w:val="00993C7D"/>
    <w:rsid w:val="009E3707"/>
    <w:rsid w:val="009F11F6"/>
    <w:rsid w:val="00A26A14"/>
    <w:rsid w:val="00A33E7D"/>
    <w:rsid w:val="00A424E6"/>
    <w:rsid w:val="00A46450"/>
    <w:rsid w:val="00A67A11"/>
    <w:rsid w:val="00A67D91"/>
    <w:rsid w:val="00A74D8A"/>
    <w:rsid w:val="00A87CB6"/>
    <w:rsid w:val="00A905EC"/>
    <w:rsid w:val="00AA5E7F"/>
    <w:rsid w:val="00AA718D"/>
    <w:rsid w:val="00AB41B7"/>
    <w:rsid w:val="00AE2F38"/>
    <w:rsid w:val="00AE5839"/>
    <w:rsid w:val="00B276F6"/>
    <w:rsid w:val="00B30EE0"/>
    <w:rsid w:val="00B35519"/>
    <w:rsid w:val="00B4730A"/>
    <w:rsid w:val="00B47882"/>
    <w:rsid w:val="00B507AD"/>
    <w:rsid w:val="00B540A4"/>
    <w:rsid w:val="00B54E73"/>
    <w:rsid w:val="00B56F28"/>
    <w:rsid w:val="00B61C46"/>
    <w:rsid w:val="00B62181"/>
    <w:rsid w:val="00B85A53"/>
    <w:rsid w:val="00BD76B3"/>
    <w:rsid w:val="00C07F1C"/>
    <w:rsid w:val="00C4557D"/>
    <w:rsid w:val="00C47238"/>
    <w:rsid w:val="00C57D22"/>
    <w:rsid w:val="00C67359"/>
    <w:rsid w:val="00C77DFE"/>
    <w:rsid w:val="00C9293B"/>
    <w:rsid w:val="00CA44DA"/>
    <w:rsid w:val="00CA46F8"/>
    <w:rsid w:val="00CB5F4A"/>
    <w:rsid w:val="00CB6233"/>
    <w:rsid w:val="00CB6ECD"/>
    <w:rsid w:val="00CC4DBD"/>
    <w:rsid w:val="00D42368"/>
    <w:rsid w:val="00D447AB"/>
    <w:rsid w:val="00D44F55"/>
    <w:rsid w:val="00D50284"/>
    <w:rsid w:val="00D54989"/>
    <w:rsid w:val="00D667FB"/>
    <w:rsid w:val="00D91DCA"/>
    <w:rsid w:val="00DB2971"/>
    <w:rsid w:val="00DD045A"/>
    <w:rsid w:val="00DD2956"/>
    <w:rsid w:val="00DF27D6"/>
    <w:rsid w:val="00DF4080"/>
    <w:rsid w:val="00E04126"/>
    <w:rsid w:val="00E04169"/>
    <w:rsid w:val="00E1297D"/>
    <w:rsid w:val="00E16842"/>
    <w:rsid w:val="00E207BF"/>
    <w:rsid w:val="00E325B2"/>
    <w:rsid w:val="00E45B4B"/>
    <w:rsid w:val="00E5396A"/>
    <w:rsid w:val="00E749F6"/>
    <w:rsid w:val="00E76D7F"/>
    <w:rsid w:val="00E802DD"/>
    <w:rsid w:val="00E94439"/>
    <w:rsid w:val="00E94764"/>
    <w:rsid w:val="00E97178"/>
    <w:rsid w:val="00E977F6"/>
    <w:rsid w:val="00EC08A2"/>
    <w:rsid w:val="00EC7E8F"/>
    <w:rsid w:val="00ED099E"/>
    <w:rsid w:val="00EE6A74"/>
    <w:rsid w:val="00F03A6D"/>
    <w:rsid w:val="00F05E5A"/>
    <w:rsid w:val="00F106A9"/>
    <w:rsid w:val="00F36FE2"/>
    <w:rsid w:val="00F62C9E"/>
    <w:rsid w:val="00F7003E"/>
    <w:rsid w:val="00F71C2F"/>
    <w:rsid w:val="00F82F05"/>
    <w:rsid w:val="00FA0192"/>
    <w:rsid w:val="00FA32EB"/>
    <w:rsid w:val="00FB10F8"/>
    <w:rsid w:val="00FC5D02"/>
    <w:rsid w:val="00FF30AF"/>
    <w:rsid w:val="00FF4149"/>
    <w:rsid w:val="03417709"/>
    <w:rsid w:val="0A1661FF"/>
    <w:rsid w:val="0C4A54E4"/>
    <w:rsid w:val="0CBD523F"/>
    <w:rsid w:val="0E610B29"/>
    <w:rsid w:val="112A57A4"/>
    <w:rsid w:val="11471540"/>
    <w:rsid w:val="13C649E3"/>
    <w:rsid w:val="14DF47B7"/>
    <w:rsid w:val="15124B8E"/>
    <w:rsid w:val="17042B89"/>
    <w:rsid w:val="186D0250"/>
    <w:rsid w:val="1CEC5C03"/>
    <w:rsid w:val="1E212D0F"/>
    <w:rsid w:val="21BE7F0D"/>
    <w:rsid w:val="234F5BD5"/>
    <w:rsid w:val="29C95F58"/>
    <w:rsid w:val="2AE2212B"/>
    <w:rsid w:val="31D70F27"/>
    <w:rsid w:val="37C84C51"/>
    <w:rsid w:val="3A492442"/>
    <w:rsid w:val="3BD602C8"/>
    <w:rsid w:val="3DD215A3"/>
    <w:rsid w:val="3DEE6B86"/>
    <w:rsid w:val="40AB3EF0"/>
    <w:rsid w:val="40BC0D2A"/>
    <w:rsid w:val="43E9787F"/>
    <w:rsid w:val="455A1F8E"/>
    <w:rsid w:val="45716197"/>
    <w:rsid w:val="494777E0"/>
    <w:rsid w:val="4B060B58"/>
    <w:rsid w:val="4CBB57FC"/>
    <w:rsid w:val="4DA20B84"/>
    <w:rsid w:val="50020B96"/>
    <w:rsid w:val="57A128F8"/>
    <w:rsid w:val="59831E36"/>
    <w:rsid w:val="59C22F47"/>
    <w:rsid w:val="5CA64FDB"/>
    <w:rsid w:val="5DFF39D7"/>
    <w:rsid w:val="5F3F52DE"/>
    <w:rsid w:val="5FA83B69"/>
    <w:rsid w:val="648332C3"/>
    <w:rsid w:val="66457199"/>
    <w:rsid w:val="69F20237"/>
    <w:rsid w:val="6BAB73DC"/>
    <w:rsid w:val="729023E9"/>
    <w:rsid w:val="738942B5"/>
    <w:rsid w:val="755C5E1B"/>
    <w:rsid w:val="77D430B2"/>
    <w:rsid w:val="78CA4F06"/>
    <w:rsid w:val="7BC24CA0"/>
    <w:rsid w:val="7C4255F6"/>
    <w:rsid w:val="7D85376F"/>
    <w:rsid w:val="7DEF7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qFormat/>
    <w:uiPriority w:val="0"/>
    <w:pPr>
      <w:keepNext/>
      <w:keepLines/>
      <w:numPr>
        <w:ilvl w:val="2"/>
        <w:numId w:val="1"/>
      </w:numPr>
      <w:spacing w:line="720" w:lineRule="exact"/>
      <w:outlineLvl w:val="2"/>
    </w:pPr>
    <w:rPr>
      <w:rFonts w:ascii="Arial" w:hAnsi="Arial" w:eastAsia="黑体"/>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autoRedefine/>
    <w:semiHidden/>
    <w:unhideWhenUsed/>
    <w:qFormat/>
    <w:uiPriority w:val="99"/>
    <w:rPr>
      <w:rFonts w:ascii="宋体" w:eastAsia="宋体"/>
      <w:sz w:val="18"/>
      <w:szCs w:val="18"/>
    </w:rPr>
  </w:style>
  <w:style w:type="paragraph" w:styleId="4">
    <w:name w:val="toa heading"/>
    <w:basedOn w:val="1"/>
    <w:next w:val="1"/>
    <w:autoRedefine/>
    <w:qFormat/>
    <w:uiPriority w:val="0"/>
    <w:pPr>
      <w:spacing w:before="120"/>
    </w:pPr>
    <w:rPr>
      <w:rFonts w:ascii="Arial" w:hAnsi="Arial" w:cs="Arial"/>
      <w:sz w:val="24"/>
    </w:rPr>
  </w:style>
  <w:style w:type="paragraph" w:styleId="5">
    <w:name w:val="annotation text"/>
    <w:basedOn w:val="1"/>
    <w:autoRedefine/>
    <w:semiHidden/>
    <w:qFormat/>
    <w:uiPriority w:val="0"/>
    <w:pPr>
      <w:spacing w:line="500" w:lineRule="exact"/>
      <w:ind w:firstLine="200" w:firstLineChars="200"/>
      <w:jc w:val="left"/>
    </w:pPr>
    <w:rPr>
      <w:kern w:val="0"/>
      <w:sz w:val="24"/>
      <w:szCs w:val="20"/>
    </w:rPr>
  </w:style>
  <w:style w:type="paragraph" w:styleId="6">
    <w:name w:val="Body Text"/>
    <w:basedOn w:val="1"/>
    <w:qFormat/>
    <w:uiPriority w:val="0"/>
    <w:pPr>
      <w:jc w:val="center"/>
    </w:pPr>
    <w:rPr>
      <w:rFonts w:eastAsia="幼圆"/>
      <w:b/>
      <w:bCs/>
      <w:sz w:val="44"/>
    </w:rPr>
  </w:style>
  <w:style w:type="paragraph" w:styleId="7">
    <w:name w:val="List Bullet 5"/>
    <w:basedOn w:val="1"/>
    <w:semiHidden/>
    <w:unhideWhenUsed/>
    <w:qFormat/>
    <w:uiPriority w:val="99"/>
    <w:pPr>
      <w:numPr>
        <w:ilvl w:val="0"/>
        <w:numId w:val="2"/>
      </w:numPr>
    </w:pPr>
  </w:style>
  <w:style w:type="paragraph" w:styleId="8">
    <w:name w:val="Balloon Text"/>
    <w:basedOn w:val="1"/>
    <w:link w:val="20"/>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autoRedefine/>
    <w:qFormat/>
    <w:uiPriority w:val="99"/>
    <w:pPr>
      <w:ind w:firstLine="420" w:firstLineChars="100"/>
    </w:pPr>
    <w:rPr>
      <w:rFonts w:eastAsia="宋体"/>
      <w:sz w:val="21"/>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Char"/>
    <w:basedOn w:val="14"/>
    <w:link w:val="10"/>
    <w:autoRedefine/>
    <w:qFormat/>
    <w:uiPriority w:val="99"/>
    <w:rPr>
      <w:sz w:val="18"/>
      <w:szCs w:val="18"/>
    </w:rPr>
  </w:style>
  <w:style w:type="character" w:customStyle="1" w:styleId="17">
    <w:name w:val="页脚 Char"/>
    <w:basedOn w:val="14"/>
    <w:link w:val="9"/>
    <w:autoRedefine/>
    <w:qFormat/>
    <w:uiPriority w:val="99"/>
    <w:rPr>
      <w:sz w:val="18"/>
      <w:szCs w:val="18"/>
    </w:rPr>
  </w:style>
  <w:style w:type="paragraph" w:customStyle="1" w:styleId="18">
    <w:name w:val="正文小四"/>
    <w:basedOn w:val="1"/>
    <w:autoRedefine/>
    <w:qFormat/>
    <w:uiPriority w:val="0"/>
    <w:pPr>
      <w:spacing w:line="520" w:lineRule="exact"/>
      <w:ind w:firstLine="480" w:firstLineChars="200"/>
    </w:pPr>
    <w:rPr>
      <w:rFonts w:ascii="Times New Roman" w:hAnsi="Times New Roman" w:eastAsia="宋体" w:cs="Times New Roman"/>
      <w:sz w:val="24"/>
      <w:szCs w:val="24"/>
    </w:rPr>
  </w:style>
  <w:style w:type="character" w:customStyle="1" w:styleId="19">
    <w:name w:val="文档结构图 Char"/>
    <w:basedOn w:val="14"/>
    <w:link w:val="2"/>
    <w:autoRedefine/>
    <w:semiHidden/>
    <w:qFormat/>
    <w:uiPriority w:val="99"/>
    <w:rPr>
      <w:rFonts w:ascii="宋体" w:eastAsia="宋体"/>
      <w:sz w:val="18"/>
      <w:szCs w:val="18"/>
    </w:rPr>
  </w:style>
  <w:style w:type="character" w:customStyle="1" w:styleId="20">
    <w:name w:val="批注框文本 Char"/>
    <w:basedOn w:val="14"/>
    <w:link w:val="8"/>
    <w:autoRedefine/>
    <w:semiHidden/>
    <w:qFormat/>
    <w:uiPriority w:val="99"/>
    <w:rPr>
      <w:sz w:val="18"/>
      <w:szCs w:val="18"/>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1871</Words>
  <Characters>2020</Characters>
  <Lines>23</Lines>
  <Paragraphs>6</Paragraphs>
  <TotalTime>0</TotalTime>
  <ScaleCrop>false</ScaleCrop>
  <LinksUpToDate>false</LinksUpToDate>
  <CharactersWithSpaces>2030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2018-06-14T03:49:00Z</dcterms:created>
  <dc:creator>Windows 用户</dc:creator>
  <cp:lastModifiedBy>张佳</cp:lastModifiedBy>
  <cp:lastPrinted>2021-09-09T02:16:00Z</cp:lastPrinted>
  <dcterms:modified xsi:type="dcterms:W3CDTF">2024-02-02T09:12:11Z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A4836CA105F148A1AECC24205BFB2537_13</vt:lpwstr>
  </property>
</Properties>
</file>